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DOSSIER PEDAGOGIQUE</w:t>
      </w: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UNITE D’ENSEIGNEMENT</w:t>
      </w:r>
    </w:p>
    <w:p>
      <w:pPr>
        <w:jc w:val="center"/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STRUCTURE DES ORDINATEURS </w:t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b/>
          <w:bCs/>
          <w:smallCaps/>
        </w:rPr>
      </w:pPr>
      <w:r>
        <w:rPr>
          <w:b/>
          <w:bCs/>
          <w:smallCaps/>
        </w:rPr>
        <w:t>Domaine : Sciences économiques et de gestion</w:t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 xml:space="preserve">CODE : </w:t>
            </w:r>
            <w:r>
              <w:rPr>
                <w:b/>
                <w:lang w:val="nl-NL"/>
              </w:rPr>
              <w:t>7551 01 U32 D4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DU DOMAINE DE FORMATION : 710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trike/>
        </w:rPr>
      </w:pPr>
      <w:r>
        <w:rPr>
          <w:b/>
          <w:bCs/>
        </w:rPr>
        <w:t>Approbation du Gouvernement de la Communauté française du 20 août 2018,</w:t>
      </w:r>
      <w:bookmarkStart w:id="0" w:name="_GoBack"/>
      <w:bookmarkEnd w:id="0"/>
    </w:p>
    <w:p>
      <w:pPr>
        <w:jc w:val="center"/>
      </w:pPr>
      <w:r>
        <w:rPr>
          <w:b/>
          <w:bCs/>
        </w:rPr>
        <w:t>Sur avis conforme du Conseil général</w:t>
      </w: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b/>
          <w:bCs/>
          <w:sz w:val="32"/>
          <w:szCs w:val="32"/>
        </w:rPr>
      </w:pPr>
      <w:r>
        <w:rPr>
          <w:b/>
          <w:bCs/>
        </w:rPr>
        <w:br w:type="page"/>
      </w:r>
      <w:r>
        <w:rPr>
          <w:b/>
          <w:bCs/>
          <w:sz w:val="32"/>
          <w:szCs w:val="32"/>
        </w:rPr>
        <w:lastRenderedPageBreak/>
        <w:t>STRUCTURE DES ORDINATEURS</w:t>
      </w: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</w:pP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</w:pPr>
    </w:p>
    <w:p>
      <w:pPr>
        <w:pStyle w:val="rubriq"/>
      </w:pPr>
      <w:r>
        <w:t>FINALITES DE L’UNITE D’ENSEIGNEMENT</w:t>
      </w:r>
    </w:p>
    <w:p>
      <w:pPr>
        <w:ind w:left="426"/>
        <w:outlineLvl w:val="0"/>
        <w:rPr>
          <w:b/>
          <w:bCs/>
        </w:rPr>
      </w:pPr>
      <w:r>
        <w:rPr>
          <w:b/>
          <w:bCs/>
        </w:rPr>
        <w:t>1.1. Finalités générales</w:t>
      </w:r>
    </w:p>
    <w:p/>
    <w:p>
      <w:pPr>
        <w:pStyle w:val="dbut1"/>
      </w:pPr>
      <w:r>
        <w:t>Conformément à l’article 7 du décret de la Communauté française du 16 avril 1991 organisant l'Enseignement de  promotion sociale, cette unité d’enseignement doit :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 et culturelle;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1.2. Finalités particulières</w:t>
      </w:r>
    </w:p>
    <w:p>
      <w:pPr>
        <w:pStyle w:val="dbut1"/>
      </w:pPr>
      <w:r>
        <w:t>L’unité d’enseignement vise à permettre à l’étudiant de mettre en œuvre, d’une manière appropriée, des techniques, des méthodes spécifiques pour :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assembler et modifier une configuration informatique 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assurer une maintenance curative et préventive tant sur le système lui-même que sur la gestion des périphériques.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répondre à des questions de compréhension à propos des éléments constitutifs d’une configuration donnée et de son fonctionnement.</w:t>
      </w:r>
    </w:p>
    <w:p/>
    <w:p>
      <w:pPr>
        <w:pStyle w:val="rubriq"/>
      </w:pPr>
      <w:r>
        <w:t>CAPACITES PREALABLES REQUISES</w:t>
      </w:r>
    </w:p>
    <w:p>
      <w:pPr>
        <w:ind w:left="426"/>
        <w:outlineLvl w:val="0"/>
        <w:rPr>
          <w:b/>
          <w:bCs/>
        </w:rPr>
      </w:pPr>
      <w:r>
        <w:rPr>
          <w:b/>
          <w:bCs/>
        </w:rPr>
        <w:t>2.1. Capacités</w:t>
      </w:r>
    </w:p>
    <w:p>
      <w:pPr>
        <w:ind w:left="426"/>
        <w:outlineLvl w:val="0"/>
        <w:rPr>
          <w:b/>
          <w:bCs/>
        </w:rPr>
      </w:pPr>
    </w:p>
    <w:p>
      <w:pPr>
        <w:ind w:left="851"/>
      </w:pPr>
      <w:r>
        <w:t>En mathématiques,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utiliser les notions de bases énumérées ci-dessous dans des applications concrètes :</w:t>
      </w:r>
    </w:p>
    <w:p>
      <w:pPr>
        <w:ind w:left="851"/>
        <w:rPr>
          <w:b/>
          <w:bCs/>
        </w:rPr>
      </w:pP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problèmes de proportionnalité, fonctions polynomiales du premier degré et leur graphe, équations et inéquations du premier degré à une inconnue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systèmes d’équations du premier degré à deux inconnues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fonctions polynomiales du deuxième degré et leur graphe, équations et inéquations du deuxième degré à une inconnue, identités remarquables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 xml:space="preserve">notion de fonction (de R dans R) et de graphe de fonction : domaine de définition, image, variation, croissance, parité, notamment   1/ X </w:t>
      </w:r>
      <w:r>
        <w:rPr>
          <w:vertAlign w:val="superscript"/>
        </w:rPr>
        <w:t>a</w:t>
      </w:r>
      <w:r>
        <w:t>, sin X et cos X, …</w:t>
      </w:r>
    </w:p>
    <w:p>
      <w:pPr>
        <w:ind w:left="360"/>
        <w:rPr>
          <w:b/>
        </w:rPr>
      </w:pPr>
    </w:p>
    <w:p>
      <w:pPr>
        <w:ind w:left="851"/>
      </w:pPr>
      <w:r>
        <w:t>En français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numPr>
          <w:ilvl w:val="12"/>
          <w:numId w:val="0"/>
        </w:numPr>
        <w:ind w:left="709" w:hanging="283"/>
        <w:jc w:val="both"/>
      </w:pPr>
    </w:p>
    <w:p>
      <w:pPr>
        <w:tabs>
          <w:tab w:val="left" w:pos="993"/>
        </w:tabs>
        <w:ind w:left="426"/>
        <w:outlineLvl w:val="0"/>
        <w:rPr>
          <w:b/>
          <w:bCs/>
        </w:rPr>
      </w:pPr>
      <w:r>
        <w:rPr>
          <w:b/>
          <w:bCs/>
        </w:rPr>
        <w:lastRenderedPageBreak/>
        <w:t>2.2.</w:t>
      </w:r>
      <w:r>
        <w:rPr>
          <w:b/>
          <w:bCs/>
        </w:rPr>
        <w:tab/>
        <w:t>Titre pouvant en tenir lieu</w:t>
      </w:r>
    </w:p>
    <w:p>
      <w:pPr>
        <w:numPr>
          <w:ilvl w:val="12"/>
          <w:numId w:val="0"/>
        </w:numPr>
      </w:pPr>
    </w:p>
    <w:p>
      <w:pPr>
        <w:pStyle w:val="dbut1"/>
      </w:pPr>
      <w:r>
        <w:t xml:space="preserve">C.E.S.S. </w:t>
      </w:r>
    </w:p>
    <w:p>
      <w:pPr>
        <w:numPr>
          <w:ilvl w:val="12"/>
          <w:numId w:val="0"/>
        </w:numPr>
      </w:pPr>
    </w:p>
    <w:p>
      <w:pPr>
        <w:numPr>
          <w:ilvl w:val="12"/>
          <w:numId w:val="0"/>
        </w:numPr>
      </w:pPr>
    </w:p>
    <w:p>
      <w:pPr>
        <w:pStyle w:val="rubriq"/>
      </w:pPr>
      <w:r>
        <w:t>ACQUIS D’APPRENTISSAGE</w:t>
      </w:r>
    </w:p>
    <w:p>
      <w:pPr>
        <w:pStyle w:val="dbut1"/>
      </w:pPr>
      <w:r>
        <w:t>Pour atteindre le seuil de réussite, l’étudiant sera capable,</w:t>
      </w:r>
    </w:p>
    <w:p>
      <w:pPr>
        <w:pStyle w:val="PU1"/>
      </w:pPr>
      <w:proofErr w:type="gramStart"/>
      <w:r>
        <w:t>face</w:t>
      </w:r>
      <w:proofErr w:type="gramEnd"/>
      <w:r>
        <w:t xml:space="preserve"> à une situation problème rencontrée dans la gestion d’une station de travail et de ses périphériques, en disposant de la documentation ad hoc,</w:t>
      </w:r>
    </w:p>
    <w:p>
      <w:pPr>
        <w:pStyle w:val="PU1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 xml:space="preserve">d’expliciter les éléments constitutifs d’une configuration donnée et son fonctionnement ; 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de justifier le choix de la mise en œuvre technique et pratique.</w:t>
      </w:r>
    </w:p>
    <w:p>
      <w:pPr>
        <w:pStyle w:val="PU1"/>
      </w:pPr>
    </w:p>
    <w:p>
      <w:pPr>
        <w:pStyle w:val="dbut1"/>
      </w:pPr>
      <w:r>
        <w:t xml:space="preserve">Pour la détermination du degré de maîtrise, il sera tenu compte 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degré de pertinence du choix,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niveau de clarté et de précision dans l’utilisation du vocabulaire technique,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degré de pertinence de la justification.</w:t>
      </w:r>
    </w:p>
    <w:p>
      <w:pPr>
        <w:jc w:val="both"/>
      </w:pPr>
    </w:p>
    <w:p>
      <w:pPr>
        <w:numPr>
          <w:ilvl w:val="12"/>
          <w:numId w:val="0"/>
        </w:numPr>
      </w:pPr>
    </w:p>
    <w:p>
      <w:pPr>
        <w:numPr>
          <w:ilvl w:val="12"/>
          <w:numId w:val="0"/>
        </w:numPr>
      </w:pPr>
    </w:p>
    <w:p>
      <w:pPr>
        <w:pStyle w:val="rubriq"/>
      </w:pPr>
      <w:r>
        <w:t>PROGRAMME</w:t>
      </w:r>
    </w:p>
    <w:p>
      <w:pPr>
        <w:pStyle w:val="contex"/>
      </w:pPr>
      <w:r>
        <w:t>Face à des situations problèmes rencontrées dans la gestion d’un parc informatique, en tenant compte des configurations couramment installées dans les entreprises et des besoins des utilisateurs en ce domaine, en recourant à la documentation disponible,</w:t>
      </w:r>
    </w:p>
    <w:p>
      <w:pPr>
        <w:pStyle w:val="dbut1"/>
      </w:pPr>
      <w:proofErr w:type="gramStart"/>
      <w:r>
        <w:t>l’étudiant</w:t>
      </w:r>
      <w:proofErr w:type="gramEnd"/>
      <w:r>
        <w:t xml:space="preserve"> sera capable :</w:t>
      </w:r>
    </w:p>
    <w:p>
      <w:pPr>
        <w:pStyle w:val="cours2"/>
      </w:pPr>
    </w:p>
    <w:p>
      <w:pPr>
        <w:pStyle w:val="PU1"/>
      </w:pPr>
      <w:proofErr w:type="gramStart"/>
      <w:r>
        <w:t>de</w:t>
      </w:r>
      <w:proofErr w:type="gramEnd"/>
      <w:r>
        <w:t xml:space="preserve"> mobiliser d’une manière générale les connaissances, les techniques et les méthodes pour :</w:t>
      </w:r>
    </w:p>
    <w:p>
      <w:pPr>
        <w:pStyle w:val="PU1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s’approprier le sens du vocabulaire technique et l’utiliser d’une manière rigoureuse et appropriée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représenter l’information de manière numérique : systèmes décimal, binaire, hexadécimal, conversion de nombres, nombres entiers, nombres réels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identifier l’architecture matérielle et logicielle d’une configuration informatique donnée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identifier, expliciter le fonctionnement, différencier et choisir :</w:t>
      </w:r>
    </w:p>
    <w:p>
      <w:pPr>
        <w:pStyle w:val="PUC2"/>
        <w:numPr>
          <w:ilvl w:val="0"/>
          <w:numId w:val="0"/>
        </w:numPr>
        <w:ind w:left="1418"/>
        <w:jc w:val="both"/>
      </w:pPr>
    </w:p>
    <w:p>
      <w:pPr>
        <w:pStyle w:val="PUC3"/>
      </w:pPr>
      <w:r>
        <w:t>les éléments constitutifs du système central d’une configuration type en tenant compte de leur rôle, leur fonctionnement et leurs interactions, notamment :</w:t>
      </w:r>
    </w:p>
    <w:p>
      <w:pPr>
        <w:pStyle w:val="PU4"/>
      </w:pPr>
      <w:r>
        <w:t>le processeur : unité arithmétique et logique, décodage des instructions, bus interne, pipeline, processeurs parallèles,</w:t>
      </w:r>
    </w:p>
    <w:p>
      <w:pPr>
        <w:pStyle w:val="PU4"/>
      </w:pPr>
      <w:r>
        <w:t>la mémoire centrale : mémoire de programme et de données, mémoire cache, types de mémoires,</w:t>
      </w:r>
    </w:p>
    <w:p>
      <w:pPr>
        <w:pStyle w:val="PU4"/>
      </w:pPr>
      <w:r>
        <w:t>les bus : bus d’adresse, bus de données, bus de contrôle, bus interne,</w:t>
      </w:r>
    </w:p>
    <w:p>
      <w:pPr>
        <w:pStyle w:val="PU4"/>
      </w:pPr>
      <w:r>
        <w:t>les coupleurs : l’interface parallèle/série, le DMA, le temporisateur,</w:t>
      </w:r>
    </w:p>
    <w:p>
      <w:pPr>
        <w:pStyle w:val="PU4"/>
      </w:pPr>
      <w:r>
        <w:t>les coprocesseurs : mathématiques, de gestion de mémoire, graphiques, etc.,</w:t>
      </w:r>
    </w:p>
    <w:p>
      <w:pPr>
        <w:pStyle w:val="PU4"/>
      </w:pPr>
      <w:r>
        <w:t>les opérations de base du processeur ;</w:t>
      </w:r>
    </w:p>
    <w:p>
      <w:pPr>
        <w:pStyle w:val="PU4"/>
        <w:numPr>
          <w:ilvl w:val="0"/>
          <w:numId w:val="0"/>
        </w:numPr>
        <w:ind w:left="1985"/>
      </w:pPr>
    </w:p>
    <w:p>
      <w:pPr>
        <w:pStyle w:val="PUC3"/>
      </w:pPr>
      <w:r>
        <w:lastRenderedPageBreak/>
        <w:t>les périphériques courants, en tenant compte des évolutions des besoins des utilisateurs :</w:t>
      </w:r>
    </w:p>
    <w:p>
      <w:pPr>
        <w:pStyle w:val="PU4"/>
      </w:pPr>
      <w:r>
        <w:t>les mémoires de masse : types, densité, formatage, temps d’accès, débit, etc.,</w:t>
      </w:r>
    </w:p>
    <w:p>
      <w:pPr>
        <w:pStyle w:val="PU4"/>
      </w:pPr>
      <w:r>
        <w:t>les imprimantes et traceurs,</w:t>
      </w:r>
    </w:p>
    <w:p>
      <w:pPr>
        <w:pStyle w:val="PU4"/>
      </w:pPr>
      <w:r>
        <w:t>les écrans, claviers, périphériques de pointage, etc.,</w:t>
      </w:r>
    </w:p>
    <w:p>
      <w:pPr>
        <w:pStyle w:val="PU4"/>
      </w:pPr>
      <w:r>
        <w:t>les liaisons : types de câbles, cartes et modems,</w:t>
      </w:r>
    </w:p>
    <w:p>
      <w:pPr>
        <w:pStyle w:val="PU4"/>
      </w:pPr>
      <w:r>
        <w:t>les différents types de réseaux informatiques ;</w:t>
      </w:r>
    </w:p>
    <w:p>
      <w:pPr>
        <w:pStyle w:val="Normaltxtdosped"/>
        <w:autoSpaceDE/>
        <w:autoSpaceDN/>
        <w:ind w:left="851"/>
        <w:jc w:val="both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color w:val="FF0000"/>
          <w:sz w:val="22"/>
        </w:rPr>
        <w:t>appréhender les éléments clé de sécurité d’un système informatique ainsi que le rôle de tout utilisateur et des informaticiens de la chaine de garantie de la sécurité.</w:t>
      </w:r>
    </w:p>
    <w:p>
      <w:pPr>
        <w:pStyle w:val="Normaltxtdosped"/>
        <w:autoSpaceDE/>
        <w:autoSpaceDN/>
        <w:ind w:left="851"/>
        <w:jc w:val="both"/>
        <w:rPr>
          <w:sz w:val="22"/>
        </w:rPr>
      </w:pPr>
    </w:p>
    <w:p>
      <w:pPr>
        <w:jc w:val="both"/>
      </w:pPr>
    </w:p>
    <w:p>
      <w:pPr>
        <w:pStyle w:val="rubriq"/>
      </w:pPr>
      <w:r>
        <w:t>CHARGE(S) DE COURS</w:t>
      </w:r>
    </w:p>
    <w:p>
      <w:pPr>
        <w:pStyle w:val="dbut1"/>
        <w:rPr>
          <w:b w:val="0"/>
        </w:rPr>
      </w:pPr>
      <w:r>
        <w:rPr>
          <w:b w:val="0"/>
        </w:rPr>
        <w:t xml:space="preserve">Un enseignant ou un expert </w:t>
      </w:r>
    </w:p>
    <w:p>
      <w:pPr>
        <w:pStyle w:val="dbut1"/>
        <w:rPr>
          <w:b w:val="0"/>
        </w:rPr>
      </w:pPr>
      <w:r>
        <w:rPr>
          <w:b w:val="0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</w:pPr>
    </w:p>
    <w:p>
      <w:pPr>
        <w:jc w:val="both"/>
      </w:pPr>
    </w:p>
    <w:p>
      <w:pPr>
        <w:pStyle w:val="rubriq"/>
      </w:pPr>
      <w:r>
        <w:t xml:space="preserve">CONSTITUTION DES GROUPES OU REGROUPEMENT </w:t>
      </w:r>
    </w:p>
    <w:p>
      <w:pPr>
        <w:pStyle w:val="dbut1"/>
      </w:pPr>
      <w:r>
        <w:t>Aucune recommandation particulière.</w:t>
      </w:r>
    </w:p>
    <w:p>
      <w:pPr>
        <w:pStyle w:val="dbut1"/>
      </w:pPr>
    </w:p>
    <w:p>
      <w:pPr>
        <w:pStyle w:val="rubriq"/>
      </w:pPr>
      <w:r>
        <w:t>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</w:pPr>
            <w:r>
              <w:t xml:space="preserve">Structure des ordinateurs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48</w:t>
            </w:r>
          </w:p>
        </w:tc>
      </w:tr>
      <w:tr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12</w:t>
            </w:r>
          </w:p>
        </w:tc>
      </w:tr>
      <w:tr>
        <w:tc>
          <w:tcPr>
            <w:tcW w:w="5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60</w:t>
            </w:r>
          </w:p>
        </w:tc>
      </w:tr>
    </w:tbl>
    <w:p>
      <w:pPr>
        <w:numPr>
          <w:ilvl w:val="12"/>
          <w:numId w:val="0"/>
        </w:numPr>
      </w:pPr>
    </w:p>
    <w:p>
      <w:pPr>
        <w:pStyle w:val="dbut1"/>
      </w:pPr>
    </w:p>
    <w:p>
      <w:pPr>
        <w:jc w:val="both"/>
      </w:pPr>
    </w:p>
    <w:sectPr>
      <w:footerReference w:type="default" r:id="rId7"/>
      <w:pgSz w:w="11907" w:h="16840" w:code="9"/>
      <w:pgMar w:top="1418" w:right="1418" w:bottom="1418" w:left="1418" w:header="709" w:footer="1134" w:gutter="0"/>
      <w:paperSrc w:first="1" w:other="1"/>
      <w:cols w:space="709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altName w:val="Times New Roman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Structure des ordinateurs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59465F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AFEC5BA"/>
    <w:lvl w:ilvl="0">
      <w:start w:val="1"/>
      <w:numFmt w:val="bullet"/>
      <w:pStyle w:val="PUC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1964820A"/>
    <w:lvl w:ilvl="0">
      <w:start w:val="1"/>
      <w:numFmt w:val="bullet"/>
      <w:pStyle w:val="Listepuce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57A24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21E5ACC"/>
    <w:lvl w:ilvl="0">
      <w:start w:val="1"/>
      <w:numFmt w:val="bullet"/>
      <w:pStyle w:val="Listepuce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2."/>
      <w:legacy w:legacy="1" w:legacySpace="0" w:legacyIndent="397"/>
      <w:lvlJc w:val="left"/>
      <w:pPr>
        <w:ind w:left="426" w:hanging="397"/>
      </w:pPr>
      <w:rPr>
        <w:rFonts w:cs="Times New Roman"/>
      </w:rPr>
    </w:lvl>
    <w:lvl w:ilvl="2">
      <w:start w:val="1"/>
      <w:numFmt w:val="decimal"/>
      <w:lvlText w:val="%2.%3."/>
      <w:legacy w:legacy="1" w:legacySpace="0" w:legacyIndent="510"/>
      <w:lvlJc w:val="left"/>
      <w:pPr>
        <w:ind w:left="851" w:hanging="51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2323" w:hanging="708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3031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3739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4447" w:hanging="708"/>
      </w:pPr>
      <w:rPr>
        <w:rFonts w:cs="Times New Roman"/>
      </w:r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155" w:hanging="708"/>
      </w:pPr>
      <w:rPr>
        <w:rFonts w:cs="Times New Roman"/>
      </w:r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5863" w:hanging="708"/>
      </w:pPr>
      <w:rPr>
        <w:rFonts w:cs="Times New Roman"/>
      </w:r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7" w15:restartNumberingAfterBreak="0">
    <w:nsid w:val="0DA82110"/>
    <w:multiLevelType w:val="singleLevel"/>
    <w:tmpl w:val="2EC80A66"/>
    <w:lvl w:ilvl="0">
      <w:numFmt w:val="bullet"/>
      <w:pStyle w:val="Listepuces3"/>
      <w:lvlText w:val="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2513083"/>
    <w:multiLevelType w:val="singleLevel"/>
    <w:tmpl w:val="A3CEB8C8"/>
    <w:lvl w:ilvl="0">
      <w:start w:val="1"/>
      <w:numFmt w:val="bullet"/>
      <w:pStyle w:val="PU4"/>
      <w:lvlText w:val=""/>
      <w:lvlJc w:val="left"/>
      <w:pPr>
        <w:tabs>
          <w:tab w:val="num" w:pos="2061"/>
        </w:tabs>
        <w:ind w:left="1985" w:hanging="284"/>
      </w:pPr>
      <w:rPr>
        <w:rFonts w:ascii="Symbol" w:hAnsi="Symbol" w:hint="default"/>
        <w:color w:val="auto"/>
        <w:sz w:val="10"/>
      </w:rPr>
    </w:lvl>
  </w:abstractNum>
  <w:abstractNum w:abstractNumId="9" w15:restartNumberingAfterBreak="0">
    <w:nsid w:val="3B945EC7"/>
    <w:multiLevelType w:val="hybridMultilevel"/>
    <w:tmpl w:val="A5DC7152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49092293"/>
    <w:multiLevelType w:val="singleLevel"/>
    <w:tmpl w:val="281E551C"/>
    <w:lvl w:ilvl="0">
      <w:numFmt w:val="bullet"/>
      <w:pStyle w:val="Listepuces2"/>
      <w:lvlText w:val="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F90141F"/>
    <w:multiLevelType w:val="singleLevel"/>
    <w:tmpl w:val="C61EF688"/>
    <w:lvl w:ilvl="0">
      <w:start w:val="1"/>
      <w:numFmt w:val="decimal"/>
      <w:pStyle w:val="rubriq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</w:abstractNum>
  <w:abstractNum w:abstractNumId="12" w15:restartNumberingAfterBreak="0">
    <w:nsid w:val="52750754"/>
    <w:multiLevelType w:val="singleLevel"/>
    <w:tmpl w:val="E5E4E530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3" w15:restartNumberingAfterBreak="0">
    <w:nsid w:val="76E0509E"/>
    <w:multiLevelType w:val="singleLevel"/>
    <w:tmpl w:val="051C756A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"/>
  </w:num>
  <w:num w:numId="32">
    <w:abstractNumId w:val="1"/>
  </w:num>
  <w:num w:numId="33">
    <w:abstractNumId w:val="0"/>
  </w:num>
  <w:num w:numId="34">
    <w:abstractNumId w:val="4"/>
  </w:num>
  <w:num w:numId="35">
    <w:abstractNumId w:val="5"/>
  </w:num>
  <w:num w:numId="36">
    <w:abstractNumId w:val="8"/>
  </w:num>
  <w:num w:numId="37">
    <w:abstractNumId w:val="11"/>
  </w:num>
  <w:num w:numId="38">
    <w:abstractNumId w:val="13"/>
  </w:num>
  <w:num w:numId="39">
    <w:abstractNumId w:val="12"/>
  </w:num>
  <w:num w:numId="40">
    <w:abstractNumId w:val="10"/>
  </w:num>
  <w:num w:numId="41">
    <w:abstractNumId w:val="7"/>
  </w:num>
  <w:num w:numId="42">
    <w:abstractNumId w:val="6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917539-8D2E-4508-ACCD-09E5EA04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pPr>
      <w:numPr>
        <w:ilvl w:val="7"/>
        <w:numId w:val="35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uiPriority w:val="99"/>
    <w:locked/>
    <w:rPr>
      <w:rFonts w:ascii="Arial" w:hAnsi="Arial" w:cs="Arial"/>
      <w:i/>
      <w:iCs/>
      <w:sz w:val="20"/>
      <w:szCs w:val="20"/>
      <w:lang w:val="fr-FR" w:eastAsia="fr-FR"/>
    </w:rPr>
  </w:style>
  <w:style w:type="character" w:customStyle="1" w:styleId="Titre9Car">
    <w:name w:val="Titre 9 Car"/>
    <w:basedOn w:val="Policepardfaut"/>
    <w:link w:val="Titre9"/>
    <w:uiPriority w:val="99"/>
    <w:locked/>
    <w:rPr>
      <w:rFonts w:ascii="Arial" w:hAnsi="Arial" w:cs="Arial"/>
      <w:b/>
      <w:bCs/>
      <w:i/>
      <w:iCs/>
      <w:sz w:val="18"/>
      <w:szCs w:val="18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customStyle="1" w:styleId="Chapeau">
    <w:name w:val="Chapeau"/>
    <w:basedOn w:val="Normal"/>
    <w:uiPriority w:val="99"/>
    <w:rPr>
      <w:i/>
      <w:iCs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</w:rPr>
  </w:style>
  <w:style w:type="paragraph" w:customStyle="1" w:styleId="p15">
    <w:name w:val="p1_5"/>
    <w:basedOn w:val="Normal"/>
    <w:uiPriority w:val="99"/>
    <w:pPr>
      <w:ind w:left="1134" w:hanging="283"/>
    </w:pPr>
  </w:style>
  <w:style w:type="paragraph" w:customStyle="1" w:styleId="P2">
    <w:name w:val="P2"/>
    <w:basedOn w:val="Normal"/>
    <w:uiPriority w:val="99"/>
    <w:pPr>
      <w:ind w:left="1985" w:hanging="360"/>
    </w:p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cs="Times New Roman"/>
      <w:lang w:val="fr-FR" w:eastAsia="fr-FR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3"/>
      </w:numPr>
      <w:tabs>
        <w:tab w:val="clear" w:pos="926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40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41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38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  <w:rPr>
      <w:b/>
    </w:rPr>
  </w:style>
  <w:style w:type="paragraph" w:customStyle="1" w:styleId="PU1">
    <w:name w:val="PU1"/>
    <w:basedOn w:val="Normal"/>
    <w:autoRedefine/>
    <w:uiPriority w:val="99"/>
    <w:pPr>
      <w:ind w:left="851"/>
      <w:jc w:val="both"/>
    </w:pPr>
    <w:rPr>
      <w:i/>
    </w:rPr>
  </w:style>
  <w:style w:type="paragraph" w:customStyle="1" w:styleId="contex">
    <w:name w:val="contex"/>
    <w:basedOn w:val="dbut1"/>
    <w:autoRedefine/>
    <w:uiPriority w:val="99"/>
    <w:rPr>
      <w:b w:val="0"/>
      <w:i/>
      <w:iCs/>
    </w:rPr>
  </w:style>
  <w:style w:type="paragraph" w:customStyle="1" w:styleId="PUC2">
    <w:name w:val="PUC2"/>
    <w:basedOn w:val="Normal"/>
    <w:uiPriority w:val="99"/>
    <w:pPr>
      <w:numPr>
        <w:numId w:val="4"/>
      </w:numPr>
      <w:tabs>
        <w:tab w:val="clear" w:pos="1209"/>
      </w:tabs>
      <w:ind w:left="360"/>
    </w:pPr>
  </w:style>
  <w:style w:type="paragraph" w:customStyle="1" w:styleId="cours2">
    <w:name w:val="cours2"/>
    <w:basedOn w:val="Normal"/>
    <w:autoRedefine/>
    <w:uiPriority w:val="99"/>
    <w:pPr>
      <w:tabs>
        <w:tab w:val="decimal" w:pos="851"/>
      </w:tabs>
      <w:ind w:left="851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39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numPr>
        <w:numId w:val="37"/>
      </w:numPr>
    </w:pPr>
    <w:rPr>
      <w:bCs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customStyle="1" w:styleId="PU4">
    <w:name w:val="PU4"/>
    <w:basedOn w:val="P3"/>
    <w:autoRedefine/>
    <w:uiPriority w:val="99"/>
    <w:pPr>
      <w:numPr>
        <w:numId w:val="36"/>
      </w:numPr>
      <w:tabs>
        <w:tab w:val="clear" w:pos="360"/>
        <w:tab w:val="clear" w:pos="2061"/>
        <w:tab w:val="left" w:pos="1985"/>
      </w:tabs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D088FA66-33AE-439A-97B0-0B05218D3E6F}"/>
</file>

<file path=customXml/itemProps2.xml><?xml version="1.0" encoding="utf-8"?>
<ds:datastoreItem xmlns:ds="http://schemas.openxmlformats.org/officeDocument/2006/customXml" ds:itemID="{BA93191B-C6ED-4FA4-8986-BD4707ACE136}"/>
</file>

<file path=customXml/itemProps3.xml><?xml version="1.0" encoding="utf-8"?>
<ds:datastoreItem xmlns:ds="http://schemas.openxmlformats.org/officeDocument/2006/customXml" ds:itemID="{8E78DACF-D37C-4B73-9860-B663C36465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860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structure des ordinateurs</vt:lpstr>
    </vt:vector>
  </TitlesOfParts>
  <Company>34 rue Villette - 4020 Liège</Company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des ordinateurs</dc:title>
  <dc:subject/>
  <dc:creator>Seyffers</dc:creator>
  <cp:keywords/>
  <dc:description/>
  <cp:lastModifiedBy>goulet02</cp:lastModifiedBy>
  <cp:revision>6</cp:revision>
  <dcterms:created xsi:type="dcterms:W3CDTF">2018-01-26T14:29:00Z</dcterms:created>
  <dcterms:modified xsi:type="dcterms:W3CDTF">2018-12-05T10:35:00Z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